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1552</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специальности 43.02.14 Гостиничное дело"</w:t>
              <w:br/>
              <w:t xml:space="preserve">(Зарегистрировано в Минюсте России 26.12.2016 N 44974)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декабря 2016 г. N 44974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1552</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43.02.14 ГОСТИНИЧНОЕ ДЕЛО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3"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43.02.14 Гостиничное дело.</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1552</w:t>
      </w:r>
    </w:p>
    <w:p>
      <w:pPr>
        <w:pStyle w:val="0"/>
        <w:jc w:val="both"/>
      </w:pPr>
      <w:r>
        <w:rPr>
          <w:sz w:val="20"/>
        </w:rPr>
      </w:r>
    </w:p>
    <w:bookmarkStart w:id="33" w:name="P33"/>
    <w:bookmarkEnd w:id="33"/>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43.02.14 ГОСТИНИЧНОЕ ДЕЛО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43.02.14 Гостиничное дело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bookmarkStart w:id="44" w:name="P44"/>
    <w:bookmarkEnd w:id="44"/>
    <w:p>
      <w:pPr>
        <w:pStyle w:val="0"/>
        <w:spacing w:before="200" w:line-rule="auto"/>
        <w:ind w:firstLine="540"/>
        <w:jc w:val="both"/>
      </w:pPr>
      <w:r>
        <w:rPr>
          <w:sz w:val="20"/>
        </w:rPr>
        <w:t xml:space="preserve">1.4.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33</w:t>
        </w:r>
      </w:hyperlink>
      <w:r>
        <w:rPr>
          <w:sz w:val="20"/>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1.5.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4"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67" w:name="P67"/>
    <w:bookmarkEnd w:id="67"/>
    <w:p>
      <w:pPr>
        <w:pStyle w:val="0"/>
        <w:spacing w:before="200" w:line-rule="auto"/>
        <w:ind w:firstLine="540"/>
        <w:jc w:val="both"/>
      </w:pPr>
      <w:r>
        <w:rPr>
          <w:sz w:val="20"/>
        </w:rP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специалист по гостеприимству.</w:t>
      </w:r>
    </w:p>
    <w:p>
      <w:pPr>
        <w:pStyle w:val="0"/>
        <w:spacing w:before="200" w:line-rule="auto"/>
        <w:ind w:firstLine="540"/>
        <w:jc w:val="both"/>
      </w:pPr>
      <w:r>
        <w:rPr>
          <w:sz w:val="20"/>
        </w:rPr>
        <w:t xml:space="preserve">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1.12 введен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5"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88" w:name="P88"/>
    <w:bookmarkEnd w:id="88"/>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57"/>
        <w:gridCol w:w="3118"/>
      </w:tblGrid>
      <w:tr>
        <w:tc>
          <w:tcPr>
            <w:tcW w:w="5857" w:type="dxa"/>
          </w:tcPr>
          <w:p>
            <w:pPr>
              <w:pStyle w:val="0"/>
              <w:jc w:val="center"/>
            </w:pPr>
            <w:r>
              <w:rPr>
                <w:sz w:val="20"/>
              </w:rPr>
              <w:t xml:space="preserve">Структура образовательной программы</w:t>
            </w:r>
          </w:p>
        </w:tc>
        <w:tc>
          <w:tcPr>
            <w:tcW w:w="3118" w:type="dxa"/>
          </w:tcPr>
          <w:p>
            <w:pPr>
              <w:pStyle w:val="0"/>
              <w:jc w:val="center"/>
            </w:pPr>
            <w:r>
              <w:rPr>
                <w:sz w:val="20"/>
              </w:rPr>
              <w:t xml:space="preserve">Объем образовательной программы в академических часах</w:t>
            </w:r>
          </w:p>
        </w:tc>
      </w:tr>
      <w:tr>
        <w:tc>
          <w:tcPr>
            <w:tcW w:w="5857" w:type="dxa"/>
          </w:tcPr>
          <w:p>
            <w:pPr>
              <w:pStyle w:val="0"/>
              <w:jc w:val="both"/>
            </w:pPr>
            <w:r>
              <w:rPr>
                <w:sz w:val="20"/>
              </w:rPr>
              <w:t xml:space="preserve">Общий гуманитарный и социально-экономический цикл</w:t>
            </w:r>
          </w:p>
        </w:tc>
        <w:tc>
          <w:tcPr>
            <w:tcW w:w="3118" w:type="dxa"/>
          </w:tcPr>
          <w:p>
            <w:pPr>
              <w:pStyle w:val="0"/>
              <w:jc w:val="center"/>
            </w:pPr>
            <w:r>
              <w:rPr>
                <w:sz w:val="20"/>
              </w:rPr>
              <w:t xml:space="preserve">не менее 468</w:t>
            </w:r>
          </w:p>
        </w:tc>
      </w:tr>
      <w:tr>
        <w:tc>
          <w:tcPr>
            <w:tcW w:w="5857" w:type="dxa"/>
          </w:tcPr>
          <w:p>
            <w:pPr>
              <w:pStyle w:val="0"/>
              <w:jc w:val="both"/>
            </w:pPr>
            <w:r>
              <w:rPr>
                <w:sz w:val="20"/>
              </w:rPr>
              <w:t xml:space="preserve">Математический и общий естественнонаучный цикл</w:t>
            </w:r>
          </w:p>
        </w:tc>
        <w:tc>
          <w:tcPr>
            <w:tcW w:w="3118" w:type="dxa"/>
          </w:tcPr>
          <w:p>
            <w:pPr>
              <w:pStyle w:val="0"/>
              <w:jc w:val="center"/>
            </w:pPr>
            <w:r>
              <w:rPr>
                <w:sz w:val="20"/>
              </w:rPr>
              <w:t xml:space="preserve">не менее 144</w:t>
            </w:r>
          </w:p>
        </w:tc>
      </w:tr>
      <w:tr>
        <w:tc>
          <w:tcPr>
            <w:tcW w:w="5857" w:type="dxa"/>
          </w:tcPr>
          <w:p>
            <w:pPr>
              <w:pStyle w:val="0"/>
              <w:jc w:val="both"/>
            </w:pPr>
            <w:r>
              <w:rPr>
                <w:sz w:val="20"/>
              </w:rPr>
              <w:t xml:space="preserve">Общепрофессиональный цикл</w:t>
            </w:r>
          </w:p>
        </w:tc>
        <w:tc>
          <w:tcPr>
            <w:tcW w:w="3118" w:type="dxa"/>
          </w:tcPr>
          <w:p>
            <w:pPr>
              <w:pStyle w:val="0"/>
              <w:jc w:val="center"/>
            </w:pPr>
            <w:r>
              <w:rPr>
                <w:sz w:val="20"/>
              </w:rPr>
              <w:t xml:space="preserve">не менее 612</w:t>
            </w:r>
          </w:p>
        </w:tc>
      </w:tr>
      <w:tr>
        <w:tc>
          <w:tcPr>
            <w:tcW w:w="5857" w:type="dxa"/>
          </w:tcPr>
          <w:p>
            <w:pPr>
              <w:pStyle w:val="0"/>
              <w:jc w:val="both"/>
            </w:pPr>
            <w:r>
              <w:rPr>
                <w:sz w:val="20"/>
              </w:rPr>
              <w:t xml:space="preserve">Профессиональный цикл</w:t>
            </w:r>
          </w:p>
        </w:tc>
        <w:tc>
          <w:tcPr>
            <w:tcW w:w="3118" w:type="dxa"/>
          </w:tcPr>
          <w:p>
            <w:pPr>
              <w:pStyle w:val="0"/>
              <w:jc w:val="center"/>
            </w:pPr>
            <w:r>
              <w:rPr>
                <w:sz w:val="20"/>
              </w:rPr>
              <w:t xml:space="preserve">не менее 1728</w:t>
            </w:r>
          </w:p>
        </w:tc>
      </w:tr>
      <w:tr>
        <w:tc>
          <w:tcPr>
            <w:tcW w:w="5857" w:type="dxa"/>
          </w:tcPr>
          <w:p>
            <w:pPr>
              <w:pStyle w:val="0"/>
              <w:jc w:val="both"/>
            </w:pPr>
            <w:r>
              <w:rPr>
                <w:sz w:val="20"/>
              </w:rPr>
              <w:t xml:space="preserve">Государственная итоговая аттестация</w:t>
            </w:r>
          </w:p>
        </w:tc>
        <w:tc>
          <w:tcPr>
            <w:tcW w:w="3118" w:type="dxa"/>
          </w:tcPr>
          <w:p>
            <w:pPr>
              <w:pStyle w:val="0"/>
              <w:jc w:val="center"/>
            </w:pPr>
            <w:r>
              <w:rPr>
                <w:sz w:val="20"/>
              </w:rPr>
              <w:t xml:space="preserve">216</w:t>
            </w:r>
          </w:p>
        </w:tc>
      </w:tr>
      <w:tr>
        <w:tc>
          <w:tcPr>
            <w:gridSpan w:val="2"/>
            <w:tcW w:w="8975" w:type="dxa"/>
          </w:tcPr>
          <w:p>
            <w:pPr>
              <w:pStyle w:val="0"/>
              <w:outlineLvl w:val="3"/>
              <w:jc w:val="center"/>
            </w:pPr>
            <w:r>
              <w:rPr>
                <w:sz w:val="20"/>
              </w:rPr>
              <w:t xml:space="preserve">Общий объем образовательной программы:</w:t>
            </w:r>
          </w:p>
        </w:tc>
      </w:tr>
      <w:tr>
        <w:tc>
          <w:tcPr>
            <w:tcW w:w="5857" w:type="dxa"/>
          </w:tcPr>
          <w:p>
            <w:pPr>
              <w:pStyle w:val="0"/>
              <w:jc w:val="both"/>
            </w:pPr>
            <w:r>
              <w:rPr>
                <w:sz w:val="20"/>
              </w:rPr>
              <w:t xml:space="preserve">на базе среднего общего образования</w:t>
            </w:r>
          </w:p>
        </w:tc>
        <w:tc>
          <w:tcPr>
            <w:tcW w:w="3118" w:type="dxa"/>
          </w:tcPr>
          <w:p>
            <w:pPr>
              <w:pStyle w:val="0"/>
              <w:jc w:val="center"/>
            </w:pPr>
            <w:r>
              <w:rPr>
                <w:sz w:val="20"/>
              </w:rPr>
              <w:t xml:space="preserve">4464</w:t>
            </w:r>
          </w:p>
        </w:tc>
      </w:tr>
      <w:tr>
        <w:tc>
          <w:tcPr>
            <w:tcW w:w="5857"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118"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88"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pPr>
        <w:pStyle w:val="0"/>
        <w:jc w:val="both"/>
      </w:pPr>
      <w:r>
        <w:rPr>
          <w:sz w:val="20"/>
        </w:rPr>
      </w:r>
    </w:p>
    <w:bookmarkStart w:id="125" w:name="P125"/>
    <w:bookmarkEnd w:id="125"/>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spacing w:before="200" w:line-rule="auto"/>
        <w:ind w:firstLine="540"/>
        <w:jc w:val="both"/>
      </w:pPr>
      <w:r>
        <w:rPr>
          <w:sz w:val="20"/>
        </w:rPr>
        <w:t xml:space="preserve">организация и контроль текущей деятельности работников службы приема и размещения;</w:t>
      </w:r>
    </w:p>
    <w:p>
      <w:pPr>
        <w:pStyle w:val="0"/>
        <w:spacing w:before="200" w:line-rule="auto"/>
        <w:ind w:firstLine="540"/>
        <w:jc w:val="both"/>
      </w:pPr>
      <w:r>
        <w:rPr>
          <w:sz w:val="20"/>
        </w:rPr>
        <w:t xml:space="preserve">организация и контроль текущей деятельности работников службы питания;</w:t>
      </w:r>
    </w:p>
    <w:p>
      <w:pPr>
        <w:pStyle w:val="0"/>
        <w:spacing w:before="200" w:line-rule="auto"/>
        <w:ind w:firstLine="540"/>
        <w:jc w:val="both"/>
      </w:pPr>
      <w:r>
        <w:rPr>
          <w:sz w:val="20"/>
        </w:rPr>
        <w:t xml:space="preserve">организация и контроль текущей деятельности работников службы обслуживания и эксплуатации номерного фонда;</w:t>
      </w:r>
    </w:p>
    <w:p>
      <w:pPr>
        <w:pStyle w:val="0"/>
        <w:spacing w:before="200" w:line-rule="auto"/>
        <w:ind w:firstLine="540"/>
        <w:jc w:val="both"/>
      </w:pPr>
      <w:r>
        <w:rPr>
          <w:sz w:val="20"/>
        </w:rPr>
        <w:t xml:space="preserve">организация и контроль текущей деятельности работников службы бронирования и продаж.</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13"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Организация и контроль текущей деятельности работников службы приема и размещения:</w:t>
      </w:r>
    </w:p>
    <w:p>
      <w:pPr>
        <w:pStyle w:val="0"/>
        <w:spacing w:before="200" w:line-rule="auto"/>
        <w:ind w:firstLine="540"/>
        <w:jc w:val="both"/>
      </w:pPr>
      <w:r>
        <w:rPr>
          <w:sz w:val="20"/>
        </w:rPr>
        <w:t xml:space="preserve">ПК 1.1. Планировать потребности службы приема и размещения в материальных ресурсах и персонале.</w:t>
      </w:r>
    </w:p>
    <w:p>
      <w:pPr>
        <w:pStyle w:val="0"/>
        <w:spacing w:before="200" w:line-rule="auto"/>
        <w:ind w:firstLine="540"/>
        <w:jc w:val="both"/>
      </w:pPr>
      <w:r>
        <w:rPr>
          <w:sz w:val="20"/>
        </w:rPr>
        <w:t xml:space="preserve">ПК 1.2. Организовывать деятельность работников службы приема и размещения в соответствии с текущими планами и стандартами гостиницы.</w:t>
      </w:r>
    </w:p>
    <w:p>
      <w:pPr>
        <w:pStyle w:val="0"/>
        <w:spacing w:before="200" w:line-rule="auto"/>
        <w:ind w:firstLine="540"/>
        <w:jc w:val="both"/>
      </w:pPr>
      <w:r>
        <w:rPr>
          <w:sz w:val="20"/>
        </w:rPr>
        <w:t xml:space="preserve">ПК 1.3. Контролировать текущую деятельность работников службы приема и размещения для поддержания требуемого уровня качества.</w:t>
      </w:r>
    </w:p>
    <w:p>
      <w:pPr>
        <w:pStyle w:val="0"/>
        <w:spacing w:before="200" w:line-rule="auto"/>
        <w:ind w:firstLine="540"/>
        <w:jc w:val="both"/>
      </w:pPr>
      <w:r>
        <w:rPr>
          <w:sz w:val="20"/>
        </w:rPr>
        <w:t xml:space="preserve">3.4.2. Организация и контроль текущей деятельности работников службы питания.</w:t>
      </w:r>
    </w:p>
    <w:p>
      <w:pPr>
        <w:pStyle w:val="0"/>
        <w:spacing w:before="200" w:line-rule="auto"/>
        <w:ind w:firstLine="540"/>
        <w:jc w:val="both"/>
      </w:pPr>
      <w:r>
        <w:rPr>
          <w:sz w:val="20"/>
        </w:rPr>
        <w:t xml:space="preserve">ПК 2.1. Планировать потребности службы питания в материальных ресурсах и персонале.</w:t>
      </w:r>
    </w:p>
    <w:p>
      <w:pPr>
        <w:pStyle w:val="0"/>
        <w:spacing w:before="200" w:line-rule="auto"/>
        <w:ind w:firstLine="540"/>
        <w:jc w:val="both"/>
      </w:pPr>
      <w:r>
        <w:rPr>
          <w:sz w:val="20"/>
        </w:rPr>
        <w:t xml:space="preserve">ПК 2.2. Организовывать деятельность работников службы питания в соответствии с текущими планами и стандартами гостиницы.</w:t>
      </w:r>
    </w:p>
    <w:p>
      <w:pPr>
        <w:pStyle w:val="0"/>
        <w:spacing w:before="200" w:line-rule="auto"/>
        <w:ind w:firstLine="540"/>
        <w:jc w:val="both"/>
      </w:pPr>
      <w:r>
        <w:rPr>
          <w:sz w:val="20"/>
        </w:rPr>
        <w:t xml:space="preserve">ПК 2.3. Контролировать текущую деятельность работников службы питания для поддержания требуемого уровня качества обслуживания гостей.</w:t>
      </w:r>
    </w:p>
    <w:p>
      <w:pPr>
        <w:pStyle w:val="0"/>
        <w:spacing w:before="200" w:line-rule="auto"/>
        <w:ind w:firstLine="540"/>
        <w:jc w:val="both"/>
      </w:pPr>
      <w:r>
        <w:rPr>
          <w:sz w:val="20"/>
        </w:rPr>
        <w:t xml:space="preserve">3.4.3. Организация и контроль текущей деятельности работников службы обслуживания и эксплуатации номерного фонда.</w:t>
      </w:r>
    </w:p>
    <w:p>
      <w:pPr>
        <w:pStyle w:val="0"/>
        <w:spacing w:before="200" w:line-rule="auto"/>
        <w:ind w:firstLine="540"/>
        <w:jc w:val="both"/>
      </w:pPr>
      <w:r>
        <w:rPr>
          <w:sz w:val="20"/>
        </w:rPr>
        <w:t xml:space="preserve">ПК 3.1. Планировать потребности службы обслуживания и эксплуатации номерного фонда в материальных ресурсах и персонале.</w:t>
      </w:r>
    </w:p>
    <w:p>
      <w:pPr>
        <w:pStyle w:val="0"/>
        <w:spacing w:before="200" w:line-rule="auto"/>
        <w:ind w:firstLine="540"/>
        <w:jc w:val="both"/>
      </w:pPr>
      <w:r>
        <w:rPr>
          <w:sz w:val="20"/>
        </w:rPr>
        <w:t xml:space="preserve">ПК 3.2. Организовывать деятельность работников службы обслуживания и эксплуатации номерного фонда в соответствии с текущими планами и стандартами гостиницы.</w:t>
      </w:r>
    </w:p>
    <w:p>
      <w:pPr>
        <w:pStyle w:val="0"/>
        <w:spacing w:before="200" w:line-rule="auto"/>
        <w:ind w:firstLine="540"/>
        <w:jc w:val="both"/>
      </w:pPr>
      <w:r>
        <w:rPr>
          <w:sz w:val="20"/>
        </w:rPr>
        <w:t xml:space="preserve">ПК 3.3. 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w:t>
      </w:r>
    </w:p>
    <w:p>
      <w:pPr>
        <w:pStyle w:val="0"/>
        <w:spacing w:before="200" w:line-rule="auto"/>
        <w:ind w:firstLine="540"/>
        <w:jc w:val="both"/>
      </w:pPr>
      <w:r>
        <w:rPr>
          <w:sz w:val="20"/>
        </w:rPr>
        <w:t xml:space="preserve">3.4.4. Организация и контроль текущей деятельности работников службы бронирования и продаж.</w:t>
      </w:r>
    </w:p>
    <w:p>
      <w:pPr>
        <w:pStyle w:val="0"/>
        <w:spacing w:before="200" w:line-rule="auto"/>
        <w:ind w:firstLine="540"/>
        <w:jc w:val="both"/>
      </w:pPr>
      <w:r>
        <w:rPr>
          <w:sz w:val="20"/>
        </w:rPr>
        <w:t xml:space="preserve">ПК 4.1. Планировать потребности службы бронирования и продаж в материальных ресурсах и персонале.</w:t>
      </w:r>
    </w:p>
    <w:p>
      <w:pPr>
        <w:pStyle w:val="0"/>
        <w:spacing w:before="200" w:line-rule="auto"/>
        <w:ind w:firstLine="540"/>
        <w:jc w:val="both"/>
      </w:pPr>
      <w:r>
        <w:rPr>
          <w:sz w:val="20"/>
        </w:rPr>
        <w:t xml:space="preserve">ПК 4.2. Организовывать деятельность работников службы бронирования и продаж в соответствии с текущими планами и стандартами гостиницы.</w:t>
      </w:r>
    </w:p>
    <w:p>
      <w:pPr>
        <w:pStyle w:val="0"/>
        <w:spacing w:before="200" w:line-rule="auto"/>
        <w:ind w:firstLine="540"/>
        <w:jc w:val="both"/>
      </w:pPr>
      <w:r>
        <w:rPr>
          <w:sz w:val="20"/>
        </w:rPr>
        <w:t xml:space="preserve">ПК 4.3. Контролировать текущую деятельность работников службы бронирования и продаж для поддержания требуемого уровня качества обслуживания гостей.</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38"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 состав которого определяется в рабочих программах учебных предметов, курсов, дисциплин (модулей) и подлежит ежегодному обновлению.</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и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1.4</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w:t>
      </w:r>
    </w:p>
    <w:p>
      <w:pPr>
        <w:pStyle w:val="0"/>
        <w:jc w:val="right"/>
      </w:pPr>
      <w:r>
        <w:rPr>
          <w:sz w:val="20"/>
        </w:rPr>
        <w:t xml:space="preserve">43.02.14 Гостиничное дело</w:t>
      </w:r>
    </w:p>
    <w:p>
      <w:pPr>
        <w:pStyle w:val="0"/>
        <w:jc w:val="both"/>
      </w:pPr>
      <w:r>
        <w:rPr>
          <w:sz w:val="20"/>
        </w:rPr>
      </w:r>
    </w:p>
    <w:bookmarkStart w:id="213" w:name="P213"/>
    <w:bookmarkEnd w:id="213"/>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w:t>
      </w:r>
    </w:p>
    <w:p>
      <w:pPr>
        <w:pStyle w:val="2"/>
        <w:jc w:val="center"/>
      </w:pPr>
      <w:r>
        <w:rPr>
          <w:sz w:val="20"/>
        </w:rPr>
        <w:t xml:space="preserve">43.02.14 ГОСТИНИЧНОЕ ДЕЛО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3572"/>
      </w:tblGrid>
      <w:tr>
        <w:tc>
          <w:tcPr>
            <w:tcW w:w="5499" w:type="dxa"/>
          </w:tcPr>
          <w:p>
            <w:pPr>
              <w:pStyle w:val="0"/>
              <w:jc w:val="center"/>
            </w:pPr>
            <w:r>
              <w:rPr>
                <w:sz w:val="20"/>
              </w:rPr>
              <w:t xml:space="preserve">Код по </w:t>
            </w:r>
            <w:hyperlink w:history="0" r:id="rId2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3572" w:type="dxa"/>
          </w:tcPr>
          <w:p>
            <w:pPr>
              <w:pStyle w:val="0"/>
              <w:jc w:val="center"/>
            </w:pPr>
            <w:r>
              <w:rPr>
                <w:sz w:val="20"/>
              </w:rPr>
              <w:t xml:space="preserve">Наименование профессий рабочих, должностей служащих</w:t>
            </w:r>
          </w:p>
        </w:tc>
      </w:tr>
      <w:tr>
        <w:tc>
          <w:tcPr>
            <w:tcW w:w="5499" w:type="dxa"/>
          </w:tcPr>
          <w:p>
            <w:pPr>
              <w:pStyle w:val="0"/>
              <w:jc w:val="center"/>
            </w:pPr>
            <w:r>
              <w:rPr>
                <w:sz w:val="20"/>
              </w:rPr>
              <w:t xml:space="preserve">1</w:t>
            </w:r>
          </w:p>
        </w:tc>
        <w:tc>
          <w:tcPr>
            <w:tcW w:w="3572" w:type="dxa"/>
          </w:tcPr>
          <w:p>
            <w:pPr>
              <w:pStyle w:val="0"/>
              <w:jc w:val="center"/>
            </w:pPr>
            <w:r>
              <w:rPr>
                <w:sz w:val="20"/>
              </w:rPr>
              <w:t xml:space="preserve">2</w:t>
            </w:r>
          </w:p>
        </w:tc>
      </w:tr>
      <w:tr>
        <w:tc>
          <w:tcPr>
            <w:tcW w:w="5499" w:type="dxa"/>
          </w:tcPr>
          <w:p>
            <w:pPr>
              <w:pStyle w:val="0"/>
              <w:jc w:val="center"/>
            </w:pPr>
            <w:hyperlink w:history="0" r:id="rId2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25627</w:t>
              </w:r>
            </w:hyperlink>
          </w:p>
        </w:tc>
        <w:tc>
          <w:tcPr>
            <w:tcW w:w="3572" w:type="dxa"/>
          </w:tcPr>
          <w:p>
            <w:pPr>
              <w:pStyle w:val="0"/>
              <w:jc w:val="both"/>
            </w:pPr>
            <w:r>
              <w:rPr>
                <w:sz w:val="20"/>
              </w:rPr>
              <w:t xml:space="preserve">Портье</w:t>
            </w:r>
          </w:p>
        </w:tc>
      </w:tr>
      <w:tr>
        <w:tc>
          <w:tcPr>
            <w:tcW w:w="5499" w:type="dxa"/>
          </w:tcPr>
          <w:p>
            <w:pPr>
              <w:pStyle w:val="0"/>
              <w:jc w:val="center"/>
            </w:pPr>
            <w:hyperlink w:history="0" r:id="rId22"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11695</w:t>
              </w:r>
            </w:hyperlink>
          </w:p>
        </w:tc>
        <w:tc>
          <w:tcPr>
            <w:tcW w:w="3572" w:type="dxa"/>
          </w:tcPr>
          <w:p>
            <w:pPr>
              <w:pStyle w:val="0"/>
              <w:jc w:val="both"/>
            </w:pPr>
            <w:r>
              <w:rPr>
                <w:sz w:val="20"/>
              </w:rPr>
              <w:t xml:space="preserve">Горничная</w:t>
            </w:r>
          </w:p>
        </w:tc>
      </w:tr>
      <w:tr>
        <w:tc>
          <w:tcPr>
            <w:tcW w:w="5499" w:type="dxa"/>
          </w:tcPr>
          <w:p>
            <w:pPr>
              <w:pStyle w:val="0"/>
              <w:jc w:val="center"/>
            </w:pPr>
            <w:hyperlink w:history="0" r:id="rId2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20015</w:t>
              </w:r>
            </w:hyperlink>
          </w:p>
        </w:tc>
        <w:tc>
          <w:tcPr>
            <w:tcW w:w="3572" w:type="dxa"/>
          </w:tcPr>
          <w:p>
            <w:pPr>
              <w:pStyle w:val="0"/>
              <w:jc w:val="both"/>
            </w:pPr>
            <w:r>
              <w:rPr>
                <w:sz w:val="20"/>
              </w:rPr>
              <w:t xml:space="preserve">Агент по закупкам</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w:t>
      </w:r>
    </w:p>
    <w:p>
      <w:pPr>
        <w:pStyle w:val="0"/>
        <w:jc w:val="right"/>
      </w:pPr>
      <w:r>
        <w:rPr>
          <w:sz w:val="20"/>
        </w:rPr>
        <w:t xml:space="preserve">43.02.14 Гостиничное дело</w:t>
      </w:r>
    </w:p>
    <w:p>
      <w:pPr>
        <w:pStyle w:val="0"/>
        <w:jc w:val="both"/>
      </w:pPr>
      <w:r>
        <w:rPr>
          <w:sz w:val="20"/>
        </w:rPr>
      </w:r>
    </w:p>
    <w:bookmarkStart w:id="238" w:name="P238"/>
    <w:bookmarkEnd w:id="238"/>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43.02.14 ГОСТИНИЧНОЕ ДЕЛО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6123"/>
      </w:tblGrid>
      <w:tr>
        <w:tc>
          <w:tcPr>
            <w:tcW w:w="2948" w:type="dxa"/>
          </w:tcPr>
          <w:p>
            <w:pPr>
              <w:pStyle w:val="0"/>
              <w:jc w:val="center"/>
            </w:pPr>
            <w:r>
              <w:rPr>
                <w:sz w:val="20"/>
              </w:rPr>
              <w:t xml:space="preserve">Основной вид деятельности</w:t>
            </w:r>
          </w:p>
        </w:tc>
        <w:tc>
          <w:tcPr>
            <w:tcW w:w="6123" w:type="dxa"/>
          </w:tcPr>
          <w:p>
            <w:pPr>
              <w:pStyle w:val="0"/>
              <w:jc w:val="center"/>
            </w:pPr>
            <w:r>
              <w:rPr>
                <w:sz w:val="20"/>
              </w:rPr>
              <w:t xml:space="preserve">Требования к знаниям, умениям, практическому опыту</w:t>
            </w:r>
          </w:p>
        </w:tc>
      </w:tr>
      <w:tr>
        <w:tc>
          <w:tcPr>
            <w:tcW w:w="2948" w:type="dxa"/>
          </w:tcPr>
          <w:p>
            <w:pPr>
              <w:pStyle w:val="0"/>
            </w:pPr>
            <w:r>
              <w:rPr>
                <w:sz w:val="20"/>
              </w:rPr>
              <w:t xml:space="preserve">Организация и контроль текущей деятельности работников службы приема и размещения</w:t>
            </w:r>
          </w:p>
        </w:tc>
        <w:tc>
          <w:tcPr>
            <w:tcW w:w="6123" w:type="dxa"/>
          </w:tcPr>
          <w:p>
            <w:pPr>
              <w:pStyle w:val="0"/>
              <w:jc w:val="both"/>
            </w:pPr>
            <w:r>
              <w:rPr>
                <w:sz w:val="20"/>
              </w:rPr>
              <w:t xml:space="preserve">знать:</w:t>
            </w:r>
          </w:p>
          <w:p>
            <w:pPr>
              <w:pStyle w:val="0"/>
              <w:ind w:firstLine="283"/>
              <w:jc w:val="both"/>
            </w:pPr>
            <w:r>
              <w:rPr>
                <w:sz w:val="20"/>
              </w:rPr>
              <w:t xml:space="preserve">нормативные правовые акты в сфере туризма и предоставления гостиничных услуг;</w:t>
            </w:r>
          </w:p>
          <w:p>
            <w:pPr>
              <w:pStyle w:val="0"/>
              <w:ind w:firstLine="283"/>
              <w:jc w:val="both"/>
            </w:pPr>
            <w:r>
              <w:rPr>
                <w:sz w:val="20"/>
              </w:rPr>
              <w:t xml:space="preserve">стандарты и операционные процедуры, определяющие работу службы;</w:t>
            </w:r>
          </w:p>
          <w:p>
            <w:pPr>
              <w:pStyle w:val="0"/>
              <w:ind w:firstLine="283"/>
              <w:jc w:val="both"/>
            </w:pPr>
            <w:r>
              <w:rPr>
                <w:sz w:val="20"/>
              </w:rPr>
              <w:t xml:space="preserve">методы планирования труда работников службы приема и размещения.</w:t>
            </w:r>
          </w:p>
          <w:p>
            <w:pPr>
              <w:pStyle w:val="0"/>
              <w:jc w:val="both"/>
            </w:pPr>
            <w:r>
              <w:rPr>
                <w:sz w:val="20"/>
              </w:rPr>
              <w:t xml:space="preserve">уметь:</w:t>
            </w:r>
          </w:p>
          <w:p>
            <w:pPr>
              <w:pStyle w:val="0"/>
              <w:ind w:firstLine="283"/>
              <w:jc w:val="both"/>
            </w:pPr>
            <w:r>
              <w:rPr>
                <w:sz w:val="20"/>
              </w:rPr>
              <w:t xml:space="preserve">планировать потребности в материальных ресурсах и персонале службы;</w:t>
            </w:r>
          </w:p>
          <w:p>
            <w:pPr>
              <w:pStyle w:val="0"/>
              <w:ind w:firstLine="283"/>
              <w:jc w:val="both"/>
            </w:pPr>
            <w:r>
              <w:rPr>
                <w:sz w:val="20"/>
              </w:rPr>
              <w:t xml:space="preserve">проводить тренинги и производственный инструктаж работников службы;</w:t>
            </w:r>
          </w:p>
          <w:p>
            <w:pPr>
              <w:pStyle w:val="0"/>
              <w:ind w:firstLine="283"/>
              <w:jc w:val="both"/>
            </w:pPr>
            <w:r>
              <w:rPr>
                <w:sz w:val="20"/>
              </w:rPr>
              <w:t xml:space="preserve">выстраивать систему стимулирования и дисциплинарной ответственности работников службы приема и размещения;</w:t>
            </w:r>
          </w:p>
          <w:p>
            <w:pPr>
              <w:pStyle w:val="0"/>
              <w:ind w:firstLine="283"/>
              <w:jc w:val="both"/>
            </w:pPr>
            <w:r>
              <w:rPr>
                <w:sz w:val="20"/>
              </w:rPr>
              <w:t xml:space="preserve">организовывать работу по поддержке и ведению информационной базы данных службы приема и размещения;</w:t>
            </w:r>
          </w:p>
          <w:p>
            <w:pPr>
              <w:pStyle w:val="0"/>
              <w:ind w:firstLine="283"/>
              <w:jc w:val="both"/>
            </w:pPr>
            <w:r>
              <w:rPr>
                <w:sz w:val="20"/>
              </w:rPr>
              <w:t xml:space="preserve">контролировать работу работников службы приема и размещения по организации встреч, приветствий и обслуживания гостей, по их регистрации и размещению, по охране труда на рабочем месте, по передаче работниками дел при окончании смены.</w:t>
            </w:r>
          </w:p>
          <w:p>
            <w:pPr>
              <w:pStyle w:val="0"/>
              <w:jc w:val="both"/>
            </w:pPr>
            <w:r>
              <w:rPr>
                <w:sz w:val="20"/>
              </w:rPr>
              <w:t xml:space="preserve">иметь практический опыт в:</w:t>
            </w:r>
          </w:p>
          <w:p>
            <w:pPr>
              <w:pStyle w:val="0"/>
              <w:ind w:firstLine="283"/>
              <w:jc w:val="both"/>
            </w:pPr>
            <w:r>
              <w:rPr>
                <w:sz w:val="20"/>
              </w:rPr>
              <w:t xml:space="preserve">разработке операционных процедур и стандартов службы приема и размещения;</w:t>
            </w:r>
          </w:p>
          <w:p>
            <w:pPr>
              <w:pStyle w:val="0"/>
              <w:ind w:firstLine="283"/>
              <w:jc w:val="both"/>
            </w:pPr>
            <w:r>
              <w:rPr>
                <w:sz w:val="20"/>
              </w:rPr>
              <w:t xml:space="preserve">планировании, организации, стимулировании и контроле деятельности исполнителей по приему и размещению гостей.</w:t>
            </w:r>
          </w:p>
        </w:tc>
      </w:tr>
      <w:tr>
        <w:tc>
          <w:tcPr>
            <w:tcW w:w="2948" w:type="dxa"/>
          </w:tcPr>
          <w:p>
            <w:pPr>
              <w:pStyle w:val="0"/>
            </w:pPr>
            <w:r>
              <w:rPr>
                <w:sz w:val="20"/>
              </w:rPr>
              <w:t xml:space="preserve">Организация и контроль текущей деятельности работников службы питания</w:t>
            </w:r>
          </w:p>
        </w:tc>
        <w:tc>
          <w:tcPr>
            <w:tcW w:w="6123" w:type="dxa"/>
          </w:tcPr>
          <w:p>
            <w:pPr>
              <w:pStyle w:val="0"/>
              <w:jc w:val="both"/>
            </w:pPr>
            <w:r>
              <w:rPr>
                <w:sz w:val="20"/>
              </w:rPr>
              <w:t xml:space="preserve">знать:</w:t>
            </w:r>
          </w:p>
          <w:p>
            <w:pPr>
              <w:pStyle w:val="0"/>
              <w:ind w:firstLine="283"/>
              <w:jc w:val="both"/>
            </w:pPr>
            <w:r>
              <w:rPr>
                <w:sz w:val="20"/>
              </w:rPr>
              <w:t xml:space="preserve">задачи, функции и особенности работы службы питания;</w:t>
            </w:r>
          </w:p>
          <w:p>
            <w:pPr>
              <w:pStyle w:val="0"/>
              <w:ind w:firstLine="283"/>
              <w:jc w:val="both"/>
            </w:pPr>
            <w:r>
              <w:rPr>
                <w:sz w:val="20"/>
              </w:rPr>
              <w:t xml:space="preserve">технологии организации процесса питания;</w:t>
            </w:r>
          </w:p>
          <w:p>
            <w:pPr>
              <w:pStyle w:val="0"/>
              <w:ind w:firstLine="283"/>
              <w:jc w:val="both"/>
            </w:pPr>
            <w:r>
              <w:rPr>
                <w:sz w:val="20"/>
              </w:rPr>
              <w:t xml:space="preserve">требования к обслуживающему персоналу, правила и нормы охраны труда, техники безопасности, производственной санитарии, противопожарной защиты и личной гигиены;</w:t>
            </w:r>
          </w:p>
          <w:p>
            <w:pPr>
              <w:pStyle w:val="0"/>
              <w:ind w:firstLine="283"/>
              <w:jc w:val="both"/>
            </w:pPr>
            <w:r>
              <w:rPr>
                <w:sz w:val="20"/>
              </w:rPr>
              <w:t xml:space="preserve">специализированные информационные программы и технологии, используемые в работе службы питания;</w:t>
            </w:r>
          </w:p>
          <w:p>
            <w:pPr>
              <w:pStyle w:val="0"/>
              <w:ind w:firstLine="283"/>
              <w:jc w:val="both"/>
            </w:pPr>
            <w:r>
              <w:rPr>
                <w:sz w:val="20"/>
              </w:rPr>
              <w:t xml:space="preserve">критерии и показатели качества обслуживания.</w:t>
            </w:r>
          </w:p>
          <w:p>
            <w:pPr>
              <w:pStyle w:val="0"/>
              <w:jc w:val="both"/>
            </w:pPr>
            <w:r>
              <w:rPr>
                <w:sz w:val="20"/>
              </w:rPr>
              <w:t xml:space="preserve">уметь:</w:t>
            </w:r>
          </w:p>
          <w:p>
            <w:pPr>
              <w:pStyle w:val="0"/>
              <w:ind w:firstLine="283"/>
              <w:jc w:val="both"/>
            </w:pPr>
            <w:r>
              <w:rPr>
                <w:sz w:val="20"/>
              </w:rPr>
              <w:t xml:space="preserve">осуществлять планирование, организацию, координацию и контроль деятельности службы питания, взаимодействие с другими службами гостиничного комплекса;</w:t>
            </w:r>
          </w:p>
          <w:p>
            <w:pPr>
              <w:pStyle w:val="0"/>
              <w:ind w:firstLine="283"/>
              <w:jc w:val="both"/>
            </w:pPr>
            <w:r>
              <w:rPr>
                <w:sz w:val="20"/>
              </w:rPr>
              <w:t xml:space="preserve">оценивать и планировать потребность службы питания в материальных ресурсах и персонале;</w:t>
            </w:r>
          </w:p>
          <w:p>
            <w:pPr>
              <w:pStyle w:val="0"/>
              <w:ind w:firstLine="283"/>
              <w:jc w:val="both"/>
            </w:pPr>
            <w:r>
              <w:rPr>
                <w:sz w:val="20"/>
              </w:rPr>
              <w:t xml:space="preserve">анализировать результаты деятельности службы питания и потребности в материальных ресурсах и персонале;</w:t>
            </w:r>
          </w:p>
          <w:p>
            <w:pPr>
              <w:pStyle w:val="0"/>
              <w:ind w:firstLine="283"/>
              <w:jc w:val="both"/>
            </w:pPr>
            <w:r>
              <w:rPr>
                <w:sz w:val="20"/>
              </w:rPr>
              <w:t xml:space="preserve">использовать информационные технологии для ведения делопроизводства и выполнения регламентов службы питания;</w:t>
            </w:r>
          </w:p>
          <w:p>
            <w:pPr>
              <w:pStyle w:val="0"/>
              <w:ind w:firstLine="283"/>
              <w:jc w:val="both"/>
            </w:pPr>
            <w:r>
              <w:rPr>
                <w:sz w:val="20"/>
              </w:rPr>
              <w:t xml:space="preserve">контролировать соблюдение подчиненными требований охраны труда на производстве и в процессе обслуживания потребителей и соблюдение санитарно-эпидемиологических требований к организации питания.</w:t>
            </w:r>
          </w:p>
          <w:p>
            <w:pPr>
              <w:pStyle w:val="0"/>
              <w:jc w:val="both"/>
            </w:pPr>
            <w:r>
              <w:rPr>
                <w:sz w:val="20"/>
              </w:rPr>
              <w:t xml:space="preserve">иметь практический опыт в:</w:t>
            </w:r>
          </w:p>
          <w:p>
            <w:pPr>
              <w:pStyle w:val="0"/>
              <w:ind w:firstLine="283"/>
              <w:jc w:val="both"/>
            </w:pPr>
            <w:r>
              <w:rPr>
                <w:sz w:val="20"/>
              </w:rPr>
              <w:t xml:space="preserve">разработке операционных процедур и стандартов службы питания;</w:t>
            </w:r>
          </w:p>
          <w:p>
            <w:pPr>
              <w:pStyle w:val="0"/>
              <w:ind w:firstLine="283"/>
              <w:jc w:val="both"/>
            </w:pPr>
            <w:r>
              <w:rPr>
                <w:sz w:val="20"/>
              </w:rPr>
              <w:t xml:space="preserve">планировании, организации, стимулировании и контроле деятельности работников службы питания.</w:t>
            </w:r>
          </w:p>
        </w:tc>
      </w:tr>
      <w:tr>
        <w:tc>
          <w:tcPr>
            <w:tcW w:w="2948" w:type="dxa"/>
          </w:tcPr>
          <w:p>
            <w:pPr>
              <w:pStyle w:val="0"/>
            </w:pPr>
            <w:r>
              <w:rPr>
                <w:sz w:val="20"/>
              </w:rPr>
              <w:t xml:space="preserve">Организация и контроль текущей деятельности работников службы обслуживания и эксплуатации номерного фонда</w:t>
            </w:r>
          </w:p>
        </w:tc>
        <w:tc>
          <w:tcPr>
            <w:tcW w:w="6123" w:type="dxa"/>
          </w:tcPr>
          <w:p>
            <w:pPr>
              <w:pStyle w:val="0"/>
              <w:jc w:val="both"/>
            </w:pPr>
            <w:r>
              <w:rPr>
                <w:sz w:val="20"/>
              </w:rPr>
              <w:t xml:space="preserve">знать:</w:t>
            </w:r>
          </w:p>
          <w:p>
            <w:pPr>
              <w:pStyle w:val="0"/>
              <w:ind w:firstLine="283"/>
              <w:jc w:val="both"/>
            </w:pPr>
            <w:r>
              <w:rPr>
                <w:sz w:val="20"/>
              </w:rPr>
              <w:t xml:space="preserve">структуру службы обслуживания и эксплуатации номерного фонда, ее цели, задачи, значение в общей структуре гостиницы;</w:t>
            </w:r>
          </w:p>
          <w:p>
            <w:pPr>
              <w:pStyle w:val="0"/>
              <w:ind w:firstLine="283"/>
              <w:jc w:val="both"/>
            </w:pPr>
            <w:r>
              <w:rPr>
                <w:sz w:val="20"/>
              </w:rPr>
              <w:t xml:space="preserve">принципы взаимодействия с другими службами гостиницы;</w:t>
            </w:r>
          </w:p>
          <w:p>
            <w:pPr>
              <w:pStyle w:val="0"/>
              <w:ind w:firstLine="283"/>
              <w:jc w:val="both"/>
            </w:pPr>
            <w:r>
              <w:rPr>
                <w:sz w:val="20"/>
              </w:rPr>
              <w:t xml:space="preserve">сервисные стандарты обслуживания номерного фонда;</w:t>
            </w:r>
          </w:p>
          <w:p>
            <w:pPr>
              <w:pStyle w:val="0"/>
              <w:ind w:firstLine="283"/>
              <w:jc w:val="both"/>
            </w:pPr>
            <w:r>
              <w:rPr>
                <w:sz w:val="20"/>
              </w:rPr>
              <w:t xml:space="preserve">санитарно-гигиенические мероприятия по обеспечению чистоты, порядка, комфорта пребывания гостей;</w:t>
            </w:r>
          </w:p>
          <w:p>
            <w:pPr>
              <w:pStyle w:val="0"/>
              <w:ind w:firstLine="283"/>
              <w:jc w:val="both"/>
            </w:pPr>
            <w:r>
              <w:rPr>
                <w:sz w:val="20"/>
              </w:rPr>
              <w:t xml:space="preserve">порядок материально-технического обеспечения гостиницы и контроля за соблюдением норм и стандартов оснащения номерного фонда;</w:t>
            </w:r>
          </w:p>
          <w:p>
            <w:pPr>
              <w:pStyle w:val="0"/>
              <w:ind w:firstLine="283"/>
              <w:jc w:val="both"/>
            </w:pPr>
            <w:r>
              <w:rPr>
                <w:sz w:val="20"/>
              </w:rPr>
              <w:t xml:space="preserve">принципы управления материально-производственными запасами;</w:t>
            </w:r>
          </w:p>
          <w:p>
            <w:pPr>
              <w:pStyle w:val="0"/>
              <w:ind w:firstLine="283"/>
              <w:jc w:val="both"/>
            </w:pPr>
            <w:r>
              <w:rPr>
                <w:sz w:val="20"/>
              </w:rPr>
              <w:t xml:space="preserve">методы оценки уровня предоставляемого гостям сервиса;</w:t>
            </w:r>
          </w:p>
          <w:p>
            <w:pPr>
              <w:pStyle w:val="0"/>
              <w:ind w:firstLine="283"/>
              <w:jc w:val="both"/>
            </w:pPr>
            <w:r>
              <w:rPr>
                <w:sz w:val="20"/>
              </w:rPr>
              <w:t xml:space="preserve">требования охраны труда, техники безопасности и правил противопожарной безопасности;</w:t>
            </w:r>
          </w:p>
          <w:p>
            <w:pPr>
              <w:pStyle w:val="0"/>
              <w:ind w:firstLine="283"/>
              <w:jc w:val="both"/>
            </w:pPr>
            <w:r>
              <w:rPr>
                <w:sz w:val="20"/>
              </w:rPr>
              <w:t xml:space="preserve">систему отчетности в службе обслуживания и эксплуатации номерного фонда.</w:t>
            </w:r>
          </w:p>
          <w:p>
            <w:pPr>
              <w:pStyle w:val="0"/>
              <w:jc w:val="both"/>
            </w:pPr>
            <w:r>
              <w:rPr>
                <w:sz w:val="20"/>
              </w:rPr>
              <w:t xml:space="preserve">уметь:</w:t>
            </w:r>
          </w:p>
          <w:p>
            <w:pPr>
              <w:pStyle w:val="0"/>
              <w:ind w:firstLine="283"/>
              <w:jc w:val="both"/>
            </w:pPr>
            <w:r>
              <w:rPr>
                <w:sz w:val="20"/>
              </w:rPr>
              <w:t xml:space="preserve">планировать работу службы обслуживания и эксплуатации номерного фонда;</w:t>
            </w:r>
          </w:p>
          <w:p>
            <w:pPr>
              <w:pStyle w:val="0"/>
              <w:ind w:firstLine="283"/>
              <w:jc w:val="both"/>
            </w:pPr>
            <w:r>
              <w:rPr>
                <w:sz w:val="20"/>
              </w:rPr>
              <w:t xml:space="preserve">организовывать выполнение и контролировать соблюдение стандартов качества оказываемых услуг работниками службы;</w:t>
            </w:r>
          </w:p>
          <w:p>
            <w:pPr>
              <w:pStyle w:val="0"/>
              <w:ind w:firstLine="283"/>
              <w:jc w:val="both"/>
            </w:pPr>
            <w:r>
              <w:rPr>
                <w:sz w:val="20"/>
              </w:rPr>
              <w:t xml:space="preserve">рассчитывать нормативы работы горничных;</w:t>
            </w:r>
          </w:p>
          <w:p>
            <w:pPr>
              <w:pStyle w:val="0"/>
              <w:ind w:firstLine="283"/>
              <w:jc w:val="both"/>
            </w:pPr>
            <w:r>
              <w:rPr>
                <w:sz w:val="20"/>
              </w:rPr>
              <w:t xml:space="preserve">контролировать состояние номерного фонда, ведение документации службы, работу обслуживающего персонала по соблюдению техники безопасности на рабочем месте, оказанию первой помощи и действий в экстремальной ситуации.</w:t>
            </w:r>
          </w:p>
          <w:p>
            <w:pPr>
              <w:pStyle w:val="0"/>
              <w:jc w:val="both"/>
            </w:pPr>
            <w:r>
              <w:rPr>
                <w:sz w:val="20"/>
              </w:rPr>
              <w:t xml:space="preserve">иметь практический опыт в:</w:t>
            </w:r>
          </w:p>
          <w:p>
            <w:pPr>
              <w:pStyle w:val="0"/>
              <w:ind w:firstLine="283"/>
              <w:jc w:val="both"/>
            </w:pPr>
            <w:r>
              <w:rPr>
                <w:sz w:val="20"/>
              </w:rPr>
              <w:t xml:space="preserve">разработке операционных процедур и стандартов службы обслуживания и эксплуатации номерного фонда;</w:t>
            </w:r>
          </w:p>
          <w:p>
            <w:pPr>
              <w:pStyle w:val="0"/>
              <w:ind w:firstLine="283"/>
              <w:jc w:val="both"/>
            </w:pPr>
            <w:r>
              <w:rPr>
                <w:sz w:val="20"/>
              </w:rPr>
              <w:t xml:space="preserve">планировании, организации, стимулировании и контроле деятельности персонала службы обслуживания и эксплуатации номерного фонда.</w:t>
            </w:r>
          </w:p>
        </w:tc>
      </w:tr>
      <w:tr>
        <w:tc>
          <w:tcPr>
            <w:tcW w:w="2948" w:type="dxa"/>
          </w:tcPr>
          <w:p>
            <w:pPr>
              <w:pStyle w:val="0"/>
            </w:pPr>
            <w:r>
              <w:rPr>
                <w:sz w:val="20"/>
              </w:rPr>
              <w:t xml:space="preserve">Организация и контроль текущей деятельности работников службы бронирования и продаж</w:t>
            </w:r>
          </w:p>
        </w:tc>
        <w:tc>
          <w:tcPr>
            <w:tcW w:w="6123" w:type="dxa"/>
          </w:tcPr>
          <w:p>
            <w:pPr>
              <w:pStyle w:val="0"/>
              <w:jc w:val="both"/>
            </w:pPr>
            <w:r>
              <w:rPr>
                <w:sz w:val="20"/>
              </w:rPr>
              <w:t xml:space="preserve">знать:</w:t>
            </w:r>
          </w:p>
          <w:p>
            <w:pPr>
              <w:pStyle w:val="0"/>
              <w:ind w:firstLine="283"/>
              <w:jc w:val="both"/>
            </w:pPr>
            <w:r>
              <w:rPr>
                <w:sz w:val="20"/>
              </w:rPr>
              <w:t xml:space="preserve">структуру и место службы бронирования и продаж в системе управления гостиницей и взаимосвязи с другими подразделениями гостиницы;</w:t>
            </w:r>
          </w:p>
          <w:p>
            <w:pPr>
              <w:pStyle w:val="0"/>
              <w:ind w:firstLine="283"/>
              <w:jc w:val="both"/>
            </w:pPr>
            <w:r>
              <w:rPr>
                <w:sz w:val="20"/>
              </w:rPr>
              <w:t xml:space="preserve">способы управления доходами гостиницы;</w:t>
            </w:r>
          </w:p>
          <w:p>
            <w:pPr>
              <w:pStyle w:val="0"/>
              <w:ind w:firstLine="283"/>
              <w:jc w:val="both"/>
            </w:pPr>
            <w:r>
              <w:rPr>
                <w:sz w:val="20"/>
              </w:rPr>
              <w:t xml:space="preserve">особенности спроса и предложения в гостиничном деле;</w:t>
            </w:r>
          </w:p>
          <w:p>
            <w:pPr>
              <w:pStyle w:val="0"/>
              <w:ind w:firstLine="283"/>
              <w:jc w:val="both"/>
            </w:pPr>
            <w:r>
              <w:rPr>
                <w:sz w:val="20"/>
              </w:rPr>
              <w:t xml:space="preserve">особенности работы с различными категориями гостей;</w:t>
            </w:r>
          </w:p>
          <w:p>
            <w:pPr>
              <w:pStyle w:val="0"/>
              <w:ind w:firstLine="283"/>
              <w:jc w:val="both"/>
            </w:pPr>
            <w:r>
              <w:rPr>
                <w:sz w:val="20"/>
              </w:rPr>
              <w:t xml:space="preserve">методы управления продажами с учетом сегментации;</w:t>
            </w:r>
          </w:p>
          <w:p>
            <w:pPr>
              <w:pStyle w:val="0"/>
              <w:ind w:firstLine="283"/>
              <w:jc w:val="both"/>
            </w:pPr>
            <w:r>
              <w:rPr>
                <w:sz w:val="20"/>
              </w:rPr>
              <w:t xml:space="preserve">способы позиционирования гостиницы и выделения ее конкурентных преимуществ;</w:t>
            </w:r>
          </w:p>
          <w:p>
            <w:pPr>
              <w:pStyle w:val="0"/>
              <w:ind w:firstLine="283"/>
              <w:jc w:val="both"/>
            </w:pPr>
            <w:r>
              <w:rPr>
                <w:sz w:val="20"/>
              </w:rPr>
              <w:t xml:space="preserve">особенности продаж номерного фонда и дополнительных услуг гостиницы;</w:t>
            </w:r>
          </w:p>
          <w:p>
            <w:pPr>
              <w:pStyle w:val="0"/>
              <w:ind w:firstLine="283"/>
              <w:jc w:val="both"/>
            </w:pPr>
            <w:r>
              <w:rPr>
                <w:sz w:val="20"/>
              </w:rPr>
              <w:t xml:space="preserve">каналы и технологии продаж гостиничного продукта;</w:t>
            </w:r>
          </w:p>
          <w:p>
            <w:pPr>
              <w:pStyle w:val="0"/>
              <w:ind w:firstLine="283"/>
              <w:jc w:val="both"/>
            </w:pPr>
            <w:r>
              <w:rPr>
                <w:sz w:val="20"/>
              </w:rPr>
              <w:t xml:space="preserve">ценообразование, виды тарифных планов и тарифную политику гостиницы;</w:t>
            </w:r>
          </w:p>
          <w:p>
            <w:pPr>
              <w:pStyle w:val="0"/>
              <w:ind w:firstLine="283"/>
              <w:jc w:val="both"/>
            </w:pPr>
            <w:r>
              <w:rPr>
                <w:sz w:val="20"/>
              </w:rPr>
              <w:t xml:space="preserve">принципы создания системы "лояльности" работы с гостями;</w:t>
            </w:r>
          </w:p>
          <w:p>
            <w:pPr>
              <w:pStyle w:val="0"/>
              <w:ind w:firstLine="283"/>
              <w:jc w:val="both"/>
            </w:pPr>
            <w:r>
              <w:rPr>
                <w:sz w:val="20"/>
              </w:rPr>
              <w:t xml:space="preserve">методы максимизации доходов гостиницы;</w:t>
            </w:r>
          </w:p>
          <w:p>
            <w:pPr>
              <w:pStyle w:val="0"/>
              <w:ind w:firstLine="283"/>
              <w:jc w:val="both"/>
            </w:pPr>
            <w:r>
              <w:rPr>
                <w:sz w:val="20"/>
              </w:rPr>
              <w:t xml:space="preserve">критерии эффективности работы персонала гостиницы по продажам;</w:t>
            </w:r>
          </w:p>
          <w:p>
            <w:pPr>
              <w:pStyle w:val="0"/>
              <w:ind w:firstLine="283"/>
              <w:jc w:val="both"/>
            </w:pPr>
            <w:r>
              <w:rPr>
                <w:sz w:val="20"/>
              </w:rPr>
              <w:t xml:space="preserve">виды отчетности по продажам.</w:t>
            </w:r>
          </w:p>
          <w:p>
            <w:pPr>
              <w:pStyle w:val="0"/>
              <w:jc w:val="both"/>
            </w:pPr>
            <w:r>
              <w:rPr>
                <w:sz w:val="20"/>
              </w:rPr>
              <w:t xml:space="preserve">уметь:</w:t>
            </w:r>
          </w:p>
          <w:p>
            <w:pPr>
              <w:pStyle w:val="0"/>
              <w:ind w:firstLine="283"/>
              <w:jc w:val="both"/>
            </w:pPr>
            <w:r>
              <w:rPr>
                <w:sz w:val="20"/>
              </w:rPr>
              <w:t xml:space="preserve">осуществлять мониторинг рынка гостиничных услуг;</w:t>
            </w:r>
          </w:p>
          <w:p>
            <w:pPr>
              <w:pStyle w:val="0"/>
              <w:ind w:firstLine="283"/>
              <w:jc w:val="both"/>
            </w:pPr>
            <w:r>
              <w:rPr>
                <w:sz w:val="20"/>
              </w:rPr>
              <w:t xml:space="preserve">выделять целевой сегмент клиентской базы;</w:t>
            </w:r>
          </w:p>
          <w:p>
            <w:pPr>
              <w:pStyle w:val="0"/>
              <w:ind w:firstLine="283"/>
              <w:jc w:val="both"/>
            </w:pPr>
            <w:r>
              <w:rPr>
                <w:sz w:val="20"/>
              </w:rPr>
              <w:t xml:space="preserve">собирать и анализировать информацию о потребностях целевого рынка;</w:t>
            </w:r>
          </w:p>
          <w:p>
            <w:pPr>
              <w:pStyle w:val="0"/>
              <w:ind w:firstLine="283"/>
              <w:jc w:val="both"/>
            </w:pPr>
            <w:r>
              <w:rPr>
                <w:sz w:val="20"/>
              </w:rPr>
              <w:t xml:space="preserve">ориентироваться в номенклатуре основных и дополнительных услуг гостиницы;</w:t>
            </w:r>
          </w:p>
          <w:p>
            <w:pPr>
              <w:pStyle w:val="0"/>
              <w:ind w:firstLine="283"/>
              <w:jc w:val="both"/>
            </w:pPr>
            <w:r>
              <w:rPr>
                <w:sz w:val="20"/>
              </w:rPr>
              <w:t xml:space="preserve">разрабатывать мероприятия по повышению лояльности гостей;</w:t>
            </w:r>
          </w:p>
          <w:p>
            <w:pPr>
              <w:pStyle w:val="0"/>
              <w:ind w:firstLine="283"/>
              <w:jc w:val="both"/>
            </w:pPr>
            <w:r>
              <w:rPr>
                <w:sz w:val="20"/>
              </w:rPr>
              <w:t xml:space="preserve">выявлять конкурентоспособность гостиничного продукта и разрабатывать мероприятия по ее повышению;</w:t>
            </w:r>
          </w:p>
          <w:p>
            <w:pPr>
              <w:pStyle w:val="0"/>
              <w:ind w:firstLine="283"/>
              <w:jc w:val="both"/>
            </w:pPr>
            <w:r>
              <w:rPr>
                <w:sz w:val="20"/>
              </w:rPr>
              <w:t xml:space="preserve">планировать и прогнозировать продажи;</w:t>
            </w:r>
          </w:p>
          <w:p>
            <w:pPr>
              <w:pStyle w:val="0"/>
              <w:ind w:firstLine="283"/>
              <w:jc w:val="both"/>
            </w:pPr>
            <w:r>
              <w:rPr>
                <w:sz w:val="20"/>
              </w:rPr>
              <w:t xml:space="preserve">проводить обучение персонала службы бронирования и продаж приемам эффективных продаж.</w:t>
            </w:r>
          </w:p>
          <w:p>
            <w:pPr>
              <w:pStyle w:val="0"/>
              <w:jc w:val="both"/>
            </w:pPr>
            <w:r>
              <w:rPr>
                <w:sz w:val="20"/>
              </w:rPr>
              <w:t xml:space="preserve">иметь практический опыт в:</w:t>
            </w:r>
          </w:p>
          <w:p>
            <w:pPr>
              <w:pStyle w:val="0"/>
              <w:ind w:firstLine="283"/>
              <w:jc w:val="both"/>
            </w:pPr>
            <w:r>
              <w:rPr>
                <w:sz w:val="20"/>
              </w:rPr>
              <w:t xml:space="preserve">планировании, организации, стимулировании и контроле деятельности работников службы бронирования и продаж;</w:t>
            </w:r>
          </w:p>
          <w:p>
            <w:pPr>
              <w:pStyle w:val="0"/>
              <w:ind w:firstLine="283"/>
              <w:jc w:val="both"/>
            </w:pPr>
            <w:r>
              <w:rPr>
                <w:sz w:val="20"/>
              </w:rPr>
              <w:t xml:space="preserve">разработке практических рекомендаций по формированию спроса и стимулированию сбыта гостиничного продукта для различных целевых сегментов;</w:t>
            </w:r>
          </w:p>
          <w:p>
            <w:pPr>
              <w:pStyle w:val="0"/>
              <w:ind w:firstLine="283"/>
              <w:jc w:val="both"/>
            </w:pPr>
            <w:r>
              <w:rPr>
                <w:sz w:val="20"/>
              </w:rPr>
              <w:t xml:space="preserve">выявлении конкурентоспособности гостиничного продукта;</w:t>
            </w:r>
          </w:p>
          <w:p>
            <w:pPr>
              <w:pStyle w:val="0"/>
              <w:ind w:firstLine="283"/>
              <w:jc w:val="both"/>
            </w:pPr>
            <w:r>
              <w:rPr>
                <w:sz w:val="20"/>
              </w:rPr>
              <w:t xml:space="preserve">определении эффективности мероприятий по стимулированию сбыта гостиничного продукта.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1552</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38FF39BA5A378D67B1AF8B96F4E51D06B55A53B81AB2D4A3287818D227409E7005445E488A6414DB3746541B7A31684588899CBAB50EEB5m9DDR" TargetMode = "External"/>
	<Relationship Id="rId8" Type="http://schemas.openxmlformats.org/officeDocument/2006/relationships/hyperlink" Target="consultantplus://offline/ref=838FF39BA5A378D67B1AF8B96F4E51D06A5AA63584A42D4A3287818D227409E7005445E488A6434CB0746541B7A31684588899CBAB50EEB5m9DDR" TargetMode = "External"/>
	<Relationship Id="rId9" Type="http://schemas.openxmlformats.org/officeDocument/2006/relationships/hyperlink" Target="consultantplus://offline/ref=838FF39BA5A378D67B1AF8B96F4E51D06955A73384AC2D4A3287818D227409E7005445E488A6434AB5746541B7A31684588899CBAB50EEB5m9DDR" TargetMode = "External"/>
	<Relationship Id="rId10" Type="http://schemas.openxmlformats.org/officeDocument/2006/relationships/hyperlink" Target="consultantplus://offline/ref=838FF39BA5A378D67B1AF8B96F4E51D06B55A53B81AB2D4A3287818D227409E7005445E488A6414DB3746541B7A31684588899CBAB50EEB5m9DDR" TargetMode = "External"/>
	<Relationship Id="rId11" Type="http://schemas.openxmlformats.org/officeDocument/2006/relationships/hyperlink" Target="consultantplus://offline/ref=838FF39BA5A378D67B1AF8B96F4E51D06A53A53487AC2D4A3287818D227409E7005445E488A64249B6746541B7A31684588899CBAB50EEB5m9DDR" TargetMode = "External"/>
	<Relationship Id="rId12" Type="http://schemas.openxmlformats.org/officeDocument/2006/relationships/hyperlink" Target="consultantplus://offline/ref=838FF39BA5A378D67B1AF8B96F4E51D06A53A53487AC2D4A3287818D227409E712541DE889A05D49B0613310F1mFD4R" TargetMode = "External"/>
	<Relationship Id="rId13" Type="http://schemas.openxmlformats.org/officeDocument/2006/relationships/hyperlink" Target="consultantplus://offline/ref=838FF39BA5A378D67B1AF8B96F4E51D06B55A53B81AB2D4A3287818D227409E7005445E488A6414DB0746541B7A31684588899CBAB50EEB5m9DDR" TargetMode = "External"/>
	<Relationship Id="rId14" Type="http://schemas.openxmlformats.org/officeDocument/2006/relationships/hyperlink" Target="consultantplus://offline/ref=838FF39BA5A378D67B1AF8B96F4E51D06C51A23786AA2D4A3287818D227409E7005445E488A6414CBB746541B7A31684588899CBAB50EEB5m9DDR" TargetMode = "External"/>
	<Relationship Id="rId15" Type="http://schemas.openxmlformats.org/officeDocument/2006/relationships/hyperlink" Target="consultantplus://offline/ref=838FF39BA5A378D67B1AF8B96F4E51D06B55A63484AE2D4A3287818D227409E7005445E488A64A4EB1746541B7A31684588899CBAB50EEB5m9DDR" TargetMode = "External"/>
	<Relationship Id="rId16" Type="http://schemas.openxmlformats.org/officeDocument/2006/relationships/hyperlink" Target="consultantplus://offline/ref=838FF39BA5A378D67B1AF8B96F4E51D06B55A53B81AB2D4A3287818D227409E7005445E488A6414DB1746541B7A31684588899CBAB50EEB5m9DDR" TargetMode = "External"/>
	<Relationship Id="rId17" Type="http://schemas.openxmlformats.org/officeDocument/2006/relationships/hyperlink" Target="consultantplus://offline/ref=838FF39BA5A378D67B1AF8B96F4E51D06B55A53B81AB2D4A3287818D227409E7005445E488A6414DB7746541B7A31684588899CBAB50EEB5m9DDR" TargetMode = "External"/>
	<Relationship Id="rId18" Type="http://schemas.openxmlformats.org/officeDocument/2006/relationships/hyperlink" Target="consultantplus://offline/ref=838FF39BA5A378D67B1AF8B96F4E51D06B55A53B81AB2D4A3287818D227409E7005445E488A6414DB5746541B7A31684588899CBAB50EEB5m9DDR" TargetMode = "External"/>
	<Relationship Id="rId19" Type="http://schemas.openxmlformats.org/officeDocument/2006/relationships/hyperlink" Target="consultantplus://offline/ref=838FF39BA5A378D67B1AF8B96F4E51D06B55A53B81AB2D4A3287818D227409E7005445E488A6414DBB746541B7A31684588899CBAB50EEB5m9DDR" TargetMode = "External"/>
	<Relationship Id="rId20" Type="http://schemas.openxmlformats.org/officeDocument/2006/relationships/hyperlink" Target="consultantplus://offline/ref=838FF39BA5A378D67B1AF8B96F4E51D06B5AA83B87AF2D4A3287818D227409E7005445E488A64349B0746541B7A31684588899CBAB50EEB5m9DDR" TargetMode = "External"/>
	<Relationship Id="rId21" Type="http://schemas.openxmlformats.org/officeDocument/2006/relationships/hyperlink" Target="consultantplus://offline/ref=838FF39BA5A378D67B1AF8B96F4E51D06B5AA83B87AF2D4A3287818D227409E7005445E489AF414BB4746541B7A31684588899CBAB50EEB5m9DDR" TargetMode = "External"/>
	<Relationship Id="rId22" Type="http://schemas.openxmlformats.org/officeDocument/2006/relationships/hyperlink" Target="consultantplus://offline/ref=838FF39BA5A378D67B1AF8B96F4E51D06B5AA83B87AF2D4A3287818D227409E7005445E489AE4141B0746541B7A31684588899CBAB50EEB5m9DDR" TargetMode = "External"/>
	<Relationship Id="rId23" Type="http://schemas.openxmlformats.org/officeDocument/2006/relationships/hyperlink" Target="consultantplus://offline/ref=838FF39BA5A378D67B1AF8B96F4E51D06B5AA83B87AF2D4A3287818D227409E7005445E489AE4B4ABA746541B7A31684588899CBAB50EEB5m9DDR"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1552
(ред. от 17.12.2020)
"Об утверждении федерального государственного образовательного стандарта среднего профессионального образования по специальности 43.02.14 Гостиничное дело"
(Зарегистрировано в Минюсте России 26.12.2016 N 44974)</dc:title>
  <dcterms:created xsi:type="dcterms:W3CDTF">2022-12-16T17:03:38Z</dcterms:created>
</cp:coreProperties>
</file>